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page" w:tblpX="6838" w:vertAnchor="text" w:tblpY="188" w:leftFromText="180" w:topFromText="0" w:rightFromText="180" w:bottomFromText="0"/>
        <w:tblW w:w="5103" w:type="dxa"/>
        <w:tblBorders/>
        <w:tblLayout w:type="fixed"/>
        <w:tblLook w:val="04A0" w:firstRow="1" w:lastRow="0" w:firstColumn="1" w:lastColumn="0" w:noHBand="0" w:noVBand="1"/>
      </w:tblPr>
      <w:tblGrid>
        <w:gridCol w:w="4820"/>
        <w:gridCol w:w="283"/>
      </w:tblGrid>
      <w:tr>
        <w:trPr>
          <w:trHeight w:val="1320"/>
        </w:trPr>
        <w:tc>
          <w:tcPr>
            <w:tcBorders/>
            <w:tcW w:w="4820" w:type="dxa"/>
            <w:textDirection w:val="lrTb"/>
            <w:noWrap w:val="false"/>
          </w:tcPr>
          <w:p>
            <w:pPr>
              <w:pBdr/>
              <w:spacing/>
              <w:ind w:right="5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ЗАТВЕР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ЖЕНО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r>
          </w:p>
          <w:p>
            <w:pPr>
              <w:pBdr/>
              <w:spacing w:after="0"/>
              <w:ind w:right="54" w:left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Розпорядження начальника обласної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r>
          </w:p>
          <w:p>
            <w:pPr>
              <w:pBdr/>
              <w:spacing w:after="0"/>
              <w:ind w:right="54" w:left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військової адміністрації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r>
          </w:p>
          <w:p>
            <w:pPr>
              <w:pBdr/>
              <w:spacing w:after="0"/>
              <w:ind w:right="54" w:left="181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січня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року №____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Borders/>
            <w:tcW w:w="28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</w:tbl>
    <w:p>
      <w:pPr>
        <w:pBdr/>
        <w:spacing w:line="240" w:lineRule="atLeast"/>
        <w:ind w:right="180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hAnsi="Times New Roman" w:cs="Times New Roman"/>
          <w:b/>
          <w:sz w:val="44"/>
          <w:szCs w:val="44"/>
          <w:lang w:eastAsia="ar-SA"/>
        </w:rPr>
      </w:r>
      <w:r>
        <w:rPr>
          <w:rFonts w:ascii="Times New Roman" w:hAnsi="Times New Roman" w:cs="Times New Roman"/>
          <w:b/>
          <w:sz w:val="44"/>
          <w:szCs w:val="44"/>
          <w:lang w:eastAsia="ar-SA"/>
        </w:rPr>
      </w:r>
    </w:p>
    <w:p>
      <w:pPr>
        <w:pBdr/>
        <w:spacing w:line="240" w:lineRule="atLeast"/>
        <w:ind w:right="180"/>
        <w:jc w:val="center"/>
        <w:rPr>
          <w:rFonts w:ascii="Times New Roman" w:hAnsi="Times New Roman" w:cs="Times New Roman"/>
          <w:b/>
          <w:sz w:val="44"/>
          <w:szCs w:val="44"/>
          <w:lang w:val="uk-UA" w:eastAsia="ar-SA"/>
        </w:rPr>
      </w:pPr>
      <w:r>
        <w:rPr>
          <w:rFonts w:ascii="Times New Roman" w:hAnsi="Times New Roman" w:cs="Times New Roman"/>
          <w:b/>
          <w:sz w:val="44"/>
          <w:szCs w:val="44"/>
          <w:lang w:val="uk-UA" w:eastAsia="ar-SA"/>
        </w:rPr>
      </w:r>
      <w:r>
        <w:rPr>
          <w:rFonts w:ascii="Times New Roman" w:hAnsi="Times New Roman" w:cs="Times New Roman"/>
          <w:b/>
          <w:sz w:val="44"/>
          <w:szCs w:val="44"/>
          <w:lang w:val="uk-UA" w:eastAsia="ar-SA"/>
        </w:rPr>
      </w:r>
    </w:p>
    <w:p>
      <w:pPr>
        <w:pBdr/>
        <w:spacing w:line="240" w:lineRule="atLeast"/>
        <w:ind w:right="1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</w:p>
    <w:p>
      <w:pPr>
        <w:pBdr/>
        <w:spacing w:line="240" w:lineRule="atLeast"/>
        <w:ind w:right="1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</w:p>
    <w:p>
      <w:pPr>
        <w:pBdr/>
        <w:spacing w:line="240" w:lineRule="atLeast"/>
        <w:ind w:right="1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</w:p>
    <w:p>
      <w:pPr>
        <w:pBdr/>
        <w:spacing w:line="240" w:lineRule="atLeast"/>
        <w:ind w:right="1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</w:p>
    <w:p>
      <w:pPr>
        <w:pBdr/>
        <w:spacing w:line="240" w:lineRule="atLeast"/>
        <w:ind w:right="1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</w:p>
    <w:p>
      <w:pPr>
        <w:pBdr/>
        <w:spacing w:line="240" w:lineRule="atLeast"/>
        <w:ind w:right="1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  <w:t xml:space="preserve">РЕГІОНАЛЬНА ПРОГРАМА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  <w:t xml:space="preserve">розвитку автомобільних доріг загального користування 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  <w:t xml:space="preserve">місцевого значення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  <w:t xml:space="preserve">на 20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 w:eastAsia="ar-S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  <w:t xml:space="preserve">202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  <w:t xml:space="preserve"> роки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  <w:r>
        <w:rPr>
          <w:rFonts w:ascii="Times New Roman" w:hAnsi="Times New Roman" w:cs="Times New Roman"/>
          <w:color w:val="000000" w:themeColor="text1"/>
          <w:sz w:val="48"/>
          <w:szCs w:val="48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sz w:val="48"/>
          <w:szCs w:val="48"/>
          <w:lang w:val="uk-UA" w:eastAsia="ar-SA"/>
        </w:rPr>
      </w:pPr>
      <w:r>
        <w:rPr>
          <w:rFonts w:ascii="Times New Roman" w:hAnsi="Times New Roman" w:cs="Times New Roman"/>
          <w:sz w:val="48"/>
          <w:szCs w:val="48"/>
          <w:lang w:val="uk-UA" w:eastAsia="ar-SA"/>
        </w:rPr>
      </w:r>
      <w:r>
        <w:rPr>
          <w:rFonts w:ascii="Times New Roman" w:hAnsi="Times New Roman" w:cs="Times New Roman"/>
          <w:sz w:val="48"/>
          <w:szCs w:val="48"/>
          <w:lang w:val="uk-UA" w:eastAsia="ar-SA"/>
        </w:rPr>
      </w:r>
    </w:p>
    <w:p>
      <w:pPr>
        <w:pBdr/>
        <w:spacing w:line="322" w:lineRule="exact"/>
        <w:ind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м. Чернігів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</w:r>
    </w:p>
    <w:p>
      <w:pPr>
        <w:pBdr/>
        <w:spacing/>
        <w:ind/>
        <w:rPr/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рік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rPr/>
      </w:pPr>
      <w:r>
        <w:rPr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ЗМІСТ</w:t>
      </w:r>
      <w:r/>
    </w:p>
    <w:tbl>
      <w:tblPr>
        <w:tblW w:w="9747" w:type="dxa"/>
        <w:tblBorders/>
        <w:tblLayout w:type="fixed"/>
        <w:tblLook w:val="00A0" w:firstRow="1" w:lastRow="0" w:firstColumn="1" w:lastColumn="0" w:noHBand="0" w:noVBand="0"/>
      </w:tblPr>
      <w:tblGrid>
        <w:gridCol w:w="675"/>
        <w:gridCol w:w="7797"/>
        <w:gridCol w:w="1275"/>
      </w:tblGrid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Назва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розділу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рограми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Стор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1057"/>
        </w:trPr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Регіональної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рограми розвитку автомобільних доріг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загального користування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місцевого значення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 на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Визначення проблеми, на розв’язання якої спрямовано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рограму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Обґрунтування шляхів і засобів розв’язання проблеми,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обсягів і джерел фінансування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Перелік завдань і заходів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рограми та результативні показники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Напрями діяльності та заходи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Координація та контроль за ходом реалізації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рограми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8.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Додаток 1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Ресурсне забезпечення Регіональної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рограми розвитку автомобільних доріг загального користування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місцевого значення  на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–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779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Додаток 2 «Напрямки діяльності та заходи Регіональної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рограми розвитку автомобільних доріг загального користування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місцевого значення 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роки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Додаток 3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Результативні показники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виконання Регіональної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рограми розвитку автомобільних доріг загального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місцевого значення 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роки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Додаток 4 «Перелік автомобільних доріг 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гального користування місцевого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значення, комунальної власності, будівництво, реконструкцію, ремонт та експлуатаційне утримання яких планується здійснювати в рамках Регіональної програми розвитку автомобільних доріг загального користування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місцевого значення 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роки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  <w:p>
            <w:pPr>
              <w:pBdr/>
              <w:spacing w:after="0" w:line="240" w:lineRule="auto"/>
              <w:ind w:firstLine="921" w:left="-9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</w:tbl>
    <w:p>
      <w:pPr>
        <w:widowControl w:val="false"/>
        <w:numPr>
          <w:ilvl w:val="0"/>
          <w:numId w:val="1"/>
        </w:num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аспорт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  <w:t xml:space="preserve">Регіональної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  <w:t xml:space="preserve">рограми розвитку автомобільних доріг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  <w:t xml:space="preserve">загального користування місцевого значення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  <w:t xml:space="preserve">на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  <w:t xml:space="preserve"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  <w:t xml:space="preserve"> роки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ar-SA"/>
        </w:rPr>
      </w:r>
    </w:p>
    <w:p>
      <w:pPr>
        <w:pBdr/>
        <w:spacing w:line="2" w:lineRule="exact"/>
        <w:ind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tbl>
      <w:tblPr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57"/>
        <w:gridCol w:w="6266"/>
      </w:tblGrid>
      <w:tr>
        <w:trPr/>
        <w:tc>
          <w:tcPr>
            <w:tcBorders/>
            <w:tcW w:w="3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Ініціатор розроблення 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626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Державне підприємство «Агентство місцевих доріг Чернігівської області»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3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Дата, номер і назва розпорядчого документа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органу виконав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чої влади про розроблення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626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Закон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України “Про місцеві державні адміністрації”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, Закон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“Про автомобільні дороги”, розпорядження начальника Чернігівської обласної військової адміністрації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Про розроблення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Рег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іо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ї програми розвитку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автомобiльних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дорiг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гального користування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мiсцевого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значення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-202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роки”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від 05 грудня 2024 року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955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3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Розробник 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626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Державне підприємство «Агентство місцевих доріг Чернігівської області»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3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Відповідальний вико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навець Програми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62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Державне підприємство «Агентство місцевих доріг Чернігівської області»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3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Учасники Програми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626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Державне підприємство «Агентство місцевих доріг Чернігівської області»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3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Терміни реалізації 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6266" w:type="dxa"/>
            <w:textDirection w:val="lrTb"/>
            <w:noWrap w:val="false"/>
          </w:tcPr>
          <w:p>
            <w:pPr>
              <w:pBdr/>
              <w:spacing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3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Загальний обсяг фінансових ресурсів, необ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хідних для реалізації Програми, усього: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6266" w:type="dxa"/>
            <w:textDirection w:val="lrTb"/>
            <w:noWrap w:val="false"/>
          </w:tcPr>
          <w:p>
            <w:pPr>
              <w:pBdr/>
              <w:spacing/>
              <w:ind w:righ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 w:right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1074930,7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тис. грн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3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у тому числі: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кошти державного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(у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разі надходження)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6266" w:type="dxa"/>
            <w:textDirection w:val="lrTb"/>
            <w:noWrap w:val="false"/>
          </w:tcPr>
          <w:p>
            <w:pPr>
              <w:pBdr/>
              <w:spacing/>
              <w:ind w:right="22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spacing/>
              <w:ind w:right="22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1051500,0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тис. грн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3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кошти обласного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6266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2"/>
              </w:numPr>
              <w:pBdr/>
              <w:spacing/>
              <w:ind w:right="22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uk-UA" w:eastAsia="ar-SA"/>
              </w:rPr>
            </w:r>
          </w:p>
        </w:tc>
      </w:tr>
      <w:tr>
        <w:trPr/>
        <w:tc>
          <w:tcPr>
            <w:tcBorders/>
            <w:tcW w:w="3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алишок субвенції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минулих років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з державного бюджету місцевим бюджетам та інші джерела, не заборонені законодавством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  <w:tc>
          <w:tcPr>
            <w:tcBorders/>
            <w:tcW w:w="6266" w:type="dxa"/>
            <w:textDirection w:val="lrTb"/>
            <w:noWrap w:val="false"/>
          </w:tcPr>
          <w:p>
            <w:pPr>
              <w:pBdr/>
              <w:spacing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  <w:p>
            <w:pPr>
              <w:pBdr/>
              <w:spacing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23430,7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r>
          </w:p>
        </w:tc>
      </w:tr>
    </w:tbl>
    <w:p>
      <w:pPr>
        <w:pBdr/>
        <w:spacing w:line="240" w:lineRule="atLeast"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. Визначення проблеми, на розв’язання якої спрямовано Програму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Мережа автомобільних доріг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загального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невід’ємною частиною єдиної транспортної системи, що забезпечує роботу всіх галузей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соціальний розвиток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рівномірний наземний дос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туп у різні місця області, країни, а також безпечне та надійне переміщення людей і транспортування товарів із належною ефективністю. Автомобільні дороги є однією з підсистем економічної системи країни, вони є суспільним продуктом та мають важливе значення.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держави загалом.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 зараз, після повномасштабного військового вторгнення російської федерації в Україну, введення воєнного стану та в умовах блокування портів і за відсутності авіаційного сполучення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автомобільні дороги загального користування та штучні споруди на них виконують одну із ключових функцій у життєзабезпеченні країни та посилення її обороноздатності.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багаторіч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недофінансування на проведення капітальних і поточних ремонтних робіт на сьогодні експлуатаційний стан більшості автомобільних доріг загального користування місцевого значення є незадовільним. Практично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вісімдесят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з них уражено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ямковістю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ділянки доріг є аварійно небезпечними та потребують термінового капітального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Такий стан автомобільних доріг гальмує 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о-економічний розвиток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створює соціальну напругу.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автомобільних доріг загального користування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місцевого значення на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 розроблен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здійснення реформування державного управління автомобільними дорогами загального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місцевого значення.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line="244" w:lineRule="auto"/>
        <w:ind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r>
    </w:p>
    <w:p>
      <w:pPr>
        <w:pBdr/>
        <w:spacing w:line="244" w:lineRule="auto"/>
        <w:ind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. Мета Програми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Метою Програми є розвиток автомобільних доріг загального користування місцевого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значення та споруд на них, поліпшення їх транспортно-експлуатаційного стану, підвищення рівня безпеки руху, швидкості, комфортності та економічності перевезень.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. Обґрунтування шляхів і засобів розв’язання проблеми,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r>
    </w:p>
    <w:p>
      <w:pPr>
        <w:pBdr/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обсягів і джерел фінансування</w:t>
      </w:r>
      <w:bookmarkStart w:id="0" w:name="page4"/>
      <w:r/>
      <w:bookmarkStart w:id="1" w:name="page5"/>
      <w:r/>
      <w:bookmarkEnd w:id="0"/>
      <w:r/>
      <w:bookmarkEnd w:id="1"/>
      <w:r/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У зв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’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язку із запровадженням з 1 січня 2018 р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оку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державного дорожнього фонду у складі спеціального фонду державного бюджету, планується виконати відновлення і розвит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 мережі доріг саме за кошти державного бюджету. Так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виникла нагальна необхідність у формуванні чітких стратегічних напрямів відновлення і розвитку автомобільних доріг загального користування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місцевого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значення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 урахуванням маршрутного принципу та соціально-економічних пріоритетів розвитку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районів та області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Такий підхід дасть змогу по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ліпшити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транспортно-експлуатаційний стан автомобільних доріг загального користування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місцевого значення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Реалізація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цієї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рограми передбачає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середньострокове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планування та фінансування чітко визначених завдань і заходів щодо відновлення та розвитку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мережі автомобільних доріг загального користування місцевого значення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та штучних споруд на 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за рахунок коштів субвенції з державного бюджету місцевим бюджетам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 ході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реалізації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рограми планується виконувати роботи за маршрутним принципом з відповідною дорожньою інфраструктурою із застосуванням сучасних будівельних норм та стандартів, в яких враховується європейська практика та принципи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будівництва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Реалізаці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я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рограми дасть змогу забезпечити: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авершення об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’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єктів незавершеного буд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івництва з високими показниками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ступеня готовності та соціально-економічної ефективності;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впровадження незалежної системи кон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тролю якості через забезпечення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контролю прозорості та підзвітності будівництва згідно із стандартами шляхом розкриття інформації та публікації відповідних наборів даних відповідно до постанови Кабінету Міністрів України від 21 жовтня 2015 р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оку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№ 835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затвердження Положення про набори даних, які підлягають оприлюдненню у формі відкритих даних та поетапного переходу до організації виконання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дорожньо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-будівельних робіт із залученням інженера-ко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нсультанта на основі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міжнародно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визнаних типових форм контрактів, зокрема контрактів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FIDIC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відповідно до статті 6 Закону України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автомобільні дороги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та постанови Кабінету Міністрів України від 28 грудня 2016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року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№ 1065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затвердження вимог щодо проведення контролю якості робіт з нового будівництва, реконструкції та капітального ремонту автомобільни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х доріг загального користування»;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активізацію інноваційної та науково-технічної діяльності в дорожньому господарстві, впровадження сучасних ефективних,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енерго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- та ресурсозберігаючих матеріалів і технологій, що забезпечують високу якість та довговічність дорожніх та мостових конструкцій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Style w:val="709"/>
        <w:numPr>
          <w:ilvl w:val="0"/>
          <w:numId w:val="4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запровадження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геоінформаційної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системи управління автомобільними дорогами загального користування місцевого значення та розвитку існуючих базових інформаційно-аналітичних комплексів (система управління стану покриття, аналітично-експертна система  управління  мостами).</w:t>
      </w:r>
      <w:r>
        <w:rPr>
          <w:rFonts w:ascii="Times New Roman" w:hAnsi="Times New Roman"/>
          <w:sz w:val="28"/>
          <w:szCs w:val="28"/>
          <w:lang w:val="uk-UA" w:eastAsia="ar-S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Програму розраховано на два роки: початок – 202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рік; за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вершен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ня –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202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рік.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Виконуватиметься в один етап.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Джерелами фінансування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рограми є фінансові ресурс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и, передбачені Законом України 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внесення змін до За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кону України 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джерела фінансування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дорожнього господарства України»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щодо удосконалення механізм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у фінансування дорожньої галузі»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Бюджетним кодексом України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субвенція з державного бюджету місцевим бюджетам,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обласний бюджет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та інші джерела фінансування, не заборонені чинним законодавством.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Одним із головних чинників її реалізації є стабільне фінансування дорожнього господарства згідно із законодавством.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відображено в додатку 1 до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рограми.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0" w:line="240" w:lineRule="atLeast"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. Перелік завдань і заходів Програми та результативні показники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Завдання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рограми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1. Е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ксплуатаційне утримання автомобільних доріг загального користування місцевого значення (п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оточний дрібний ремонт та утримання автомобільних дор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загального користування місцевого значення, у тому числі штучних споруд (мостових переходів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тощо</w:t>
      </w:r>
      <w:r>
        <w:rPr>
          <w:rFonts w:ascii="Times New Roman" w:hAnsi="Times New Roman" w:cs="Times New Roman"/>
          <w:color w:val="000000"/>
          <w:lang w:val="uk-UA"/>
        </w:rPr>
        <w:t xml:space="preserve">)</w:t>
      </w:r>
      <w:r>
        <w:rPr>
          <w:rFonts w:ascii="Times New Roman" w:hAnsi="Times New Roman" w:cs="Times New Roman"/>
          <w:color w:val="000000"/>
          <w:lang w:val="uk-UA"/>
        </w:rPr>
        <w:t xml:space="preserve">).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апітальний ремонт штучних споруд (мостових переходів) (м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остові переходи на автомобільних дорогах загального користування місцевого значення)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3. 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апітальний ремонт автомобільних доріг загального користування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місцевого значення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4. 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апітальн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ий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та поточний середній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ремонт вулиць і доріг комунальної власності у населених пунктах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5. Виготовлення проектної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документації та проведення державної експертизи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рограми дасть змогу забезпечити: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Style w:val="709"/>
        <w:numPr>
          <w:ilvl w:val="0"/>
          <w:numId w:val="3"/>
        </w:numPr>
        <w:pBdr/>
        <w:tabs>
          <w:tab w:val="left" w:leader="none" w:pos="851"/>
        </w:tabs>
        <w:spacing w:after="12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проведення робіт з капітального ремонту автомобільних доріг загального користування місцевого значення та штучних споруд на них (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в тому числі виготовлення проектної документації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) згідно із сучасними європейськими стандартами з відповідною дорожньою інфраструктурою; </w:t>
      </w:r>
      <w:r>
        <w:rPr>
          <w:rFonts w:ascii="Times New Roman" w:hAnsi="Times New Roman"/>
          <w:sz w:val="28"/>
          <w:szCs w:val="28"/>
          <w:lang w:val="uk-UA" w:eastAsia="ar-SA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851"/>
        </w:tabs>
        <w:spacing w:after="12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по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ліпше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ння транспортно-експлуатаційного стану автомобільних доріг загального користування місцевого значення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та штучних споруд на них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851"/>
        </w:tabs>
        <w:spacing w:after="12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реконструкці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ю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і розбудов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у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мережі автомобільних доріг з урахуванням соціально-економічного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та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адміністративно-територіального розвитку області;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851"/>
        </w:tabs>
        <w:spacing w:after="12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зниження собівартості перевезення вантажів і пасажирів та збільшення прибутку на автомобільному транспорті у зв'язку з поліпшенням умов експлуатації автомобільного транспорту;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851"/>
        </w:tabs>
        <w:spacing w:after="12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економію капітальних вкладень в автомобільний транспорт у зв'язку з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підвищенням продуктивності роботи автомобільного транспорту через збільшення середньої швидкості руху на відремонтованих ділянках дороги;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851"/>
        </w:tabs>
        <w:spacing w:after="12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зниження втрат від дорожньо-транспортних пригод, що трапляються через незадовільний стан автомобільних доріг;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851"/>
        </w:tabs>
        <w:spacing w:after="12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посилення контролю за якістю та фінансуванням д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орожніх робіт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 боку користувачів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tabs>
          <w:tab w:val="left" w:leader="none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8) 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зменшення негативного впливу на навколишнє середовище;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Style w:val="709"/>
        <w:numPr>
          <w:ilvl w:val="0"/>
          <w:numId w:val="5"/>
        </w:numPr>
        <w:pBdr/>
        <w:tabs>
          <w:tab w:val="left" w:leader="none" w:pos="851"/>
        </w:tabs>
        <w:spacing w:after="12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гарантійний строк експлуатації об'єктів капітального та поточного  ремонтів автомобільних доріг загального користування місцевого значення згідно з державними будівельними нормами;</w:t>
      </w:r>
      <w:r>
        <w:rPr>
          <w:rFonts w:ascii="Times New Roman" w:hAnsi="Times New Roman"/>
          <w:sz w:val="28"/>
          <w:szCs w:val="28"/>
          <w:lang w:val="uk-UA" w:eastAsia="ar-SA"/>
        </w:rPr>
      </w:r>
    </w:p>
    <w:p>
      <w:pPr>
        <w:widowControl w:val="false"/>
        <w:numPr>
          <w:ilvl w:val="0"/>
          <w:numId w:val="5"/>
        </w:numPr>
        <w:pBdr/>
        <w:tabs>
          <w:tab w:val="left" w:leader="none" w:pos="851"/>
          <w:tab w:val="left" w:leader="none" w:pos="993"/>
        </w:tabs>
        <w:spacing w:after="12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сприяння безперешкодному доступу осіб з інвалідністю та інших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маломобільних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груп населення до об’єктів дорожньої інфраструктури.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Результативні показники виконання регіональної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рограми зазначені в додатку 3 до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рограми.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 Напрями діяльності та заходи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рограми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рограми наведено у додатку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рограми.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Поставлені завдання можна вирішити, забезпечивши виконання заходів Програми, а саме з організації будівництва, реконструкції, ремонту та експлуатаційного утримання автомобільних доріг загального користування місцевого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власності, відповідно до запропонованого переліку (додаток 4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рограми).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line="240" w:lineRule="atLeast"/>
        <w:ind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 </w:t>
      </w: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Координація та контроль за ходом реалізації Програми</w:t>
      </w: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та контроль за ходом виконання Програми здійснює Управління капітального будівництва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b050"/>
          <w:sz w:val="28"/>
          <w:szCs w:val="28"/>
          <w:lang w:val="uk-UA" w:eastAsia="ar-S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 хід виконання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цієї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Державне підприємство «Агентство місцевих доріг Чернігівської області»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інформує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26 лютого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наступного за звітним.</w:t>
      </w:r>
      <w:r>
        <w:rPr>
          <w:rFonts w:ascii="Times New Roman" w:hAnsi="Times New Roman" w:cs="Times New Roman"/>
          <w:color w:val="00b050"/>
          <w:sz w:val="28"/>
          <w:szCs w:val="28"/>
          <w:lang w:val="uk-UA" w:eastAsia="ar-S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 w:eastAsia="ar-SA"/>
        </w:rPr>
      </w:r>
      <w:r>
        <w:rPr>
          <w:rFonts w:ascii="Times New Roman" w:hAnsi="Times New Roman" w:cs="Times New Roman"/>
          <w:color w:val="00b050"/>
          <w:sz w:val="28"/>
          <w:szCs w:val="28"/>
          <w:lang w:val="uk-UA" w:eastAsia="ar-SA"/>
        </w:rPr>
      </w:r>
    </w:p>
    <w:p>
      <w:pPr>
        <w:pBdr/>
        <w:spacing w:after="0"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0"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Державного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0"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підприємства «Агентство місцевих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after="0"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доріг Чернігівськ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ої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області»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</w:t>
      </w:r>
      <w:bookmarkStart w:id="2" w:name="_GoBack"/>
      <w:r/>
      <w:bookmarkEnd w:id="2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Олександр МИС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НИК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850" w:bottom="1134" w:left="1701" w:header="708" w:footer="708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27957223"/>
      <w:docPartObj>
        <w:docPartGallery w:val="Page Numbers (Top of Page)"/>
        <w:docPartUnique w:val="true"/>
      </w:docPartObj>
      <w:rPr/>
    </w:sdtPr>
    <w:sdtContent>
      <w:p>
        <w:pPr>
          <w:pStyle w:val="705"/>
          <w:pBdr/>
          <w:tabs>
            <w:tab w:val="clear" w:leader="none" w:pos="4677"/>
            <w:tab w:val="center" w:leader="none" w:pos="4678"/>
          </w:tabs>
          <w:spacing/>
          <w:ind/>
          <w:rPr/>
        </w:pPr>
        <w:r>
          <w:rPr>
            <w:lang w:val="uk-UA"/>
          </w:rPr>
          <w:t xml:space="preserve">                                                                           </w:t>
        </w:r>
        <w:r>
          <w:rPr>
            <w:lang w:val="uk-UA"/>
          </w:rPr>
          <w:t xml:space="preserve">            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70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927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927"/>
      </w:pPr>
      <w:rPr>
        <w:rFonts w:hint="default"/>
      </w:rPr>
      <w:start w:val="9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927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auto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01"/>
    <w:next w:val="70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01"/>
    <w:next w:val="70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01"/>
    <w:next w:val="70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01"/>
    <w:next w:val="70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1"/>
    <w:next w:val="70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1"/>
    <w:next w:val="70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1"/>
    <w:next w:val="70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1"/>
    <w:next w:val="70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1"/>
    <w:next w:val="70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01"/>
    <w:next w:val="70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0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1"/>
    <w:next w:val="70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1"/>
    <w:next w:val="70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1"/>
    <w:next w:val="70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2"/>
    <w:link w:val="705"/>
    <w:uiPriority w:val="99"/>
    <w:pPr>
      <w:pBdr/>
      <w:spacing/>
      <w:ind/>
    </w:pPr>
  </w:style>
  <w:style w:type="character" w:styleId="178">
    <w:name w:val="Footer Char"/>
    <w:basedOn w:val="702"/>
    <w:link w:val="707"/>
    <w:uiPriority w:val="99"/>
    <w:pPr>
      <w:pBdr/>
      <w:spacing/>
      <w:ind/>
    </w:pPr>
  </w:style>
  <w:style w:type="paragraph" w:styleId="179">
    <w:name w:val="Caption"/>
    <w:basedOn w:val="701"/>
    <w:next w:val="70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1"/>
    <w:next w:val="701"/>
    <w:uiPriority w:val="99"/>
    <w:unhideWhenUsed/>
    <w:pPr>
      <w:pBdr/>
      <w:spacing w:after="0" w:afterAutospacing="0"/>
      <w:ind/>
    </w:pPr>
  </w:style>
  <w:style w:type="paragraph" w:styleId="701" w:default="1">
    <w:name w:val="Normal"/>
    <w:qFormat/>
    <w:pPr>
      <w:pBdr/>
      <w:spacing/>
      <w:ind/>
    </w:p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paragraph" w:styleId="705">
    <w:name w:val="Header"/>
    <w:basedOn w:val="701"/>
    <w:link w:val="70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06" w:customStyle="1">
    <w:name w:val="Верхний колонтитул Знак"/>
    <w:basedOn w:val="702"/>
    <w:link w:val="705"/>
    <w:uiPriority w:val="99"/>
    <w:pPr>
      <w:pBdr/>
      <w:spacing/>
      <w:ind/>
    </w:pPr>
  </w:style>
  <w:style w:type="paragraph" w:styleId="707">
    <w:name w:val="Footer"/>
    <w:basedOn w:val="701"/>
    <w:link w:val="70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08" w:customStyle="1">
    <w:name w:val="Нижний колонтитул Знак"/>
    <w:basedOn w:val="702"/>
    <w:link w:val="707"/>
    <w:uiPriority w:val="99"/>
    <w:pPr>
      <w:pBdr/>
      <w:spacing/>
      <w:ind/>
    </w:pPr>
  </w:style>
  <w:style w:type="paragraph" w:styleId="709">
    <w:name w:val="List Paragraph"/>
    <w:basedOn w:val="701"/>
    <w:uiPriority w:val="99"/>
    <w:qFormat/>
    <w:pPr>
      <w:pBdr/>
      <w:spacing w:after="200" w:line="276" w:lineRule="auto"/>
      <w:ind w:left="720"/>
    </w:pPr>
    <w:rPr>
      <w:rFonts w:ascii="Calibri" w:hAnsi="Calibri" w:eastAsia="Times New Roman" w:cs="Times New Roman"/>
      <w:lang w:eastAsia="ru-RU"/>
    </w:rPr>
  </w:style>
  <w:style w:type="paragraph" w:styleId="710">
    <w:name w:val="Balloon Text"/>
    <w:basedOn w:val="701"/>
    <w:link w:val="711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11" w:customStyle="1">
    <w:name w:val="Текст выноски Знак"/>
    <w:basedOn w:val="702"/>
    <w:link w:val="710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ukb</dc:creator>
  <cp:keywords/>
  <dc:description/>
  <cp:lastModifiedBy>Anonymous</cp:lastModifiedBy>
  <cp:revision>29</cp:revision>
  <dcterms:created xsi:type="dcterms:W3CDTF">2023-01-27T12:59:00Z</dcterms:created>
  <dcterms:modified xsi:type="dcterms:W3CDTF">2024-12-30T11:55:39Z</dcterms:modified>
</cp:coreProperties>
</file>